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Integration Statement of Work Template</w:t>
      </w:r>
    </w:p>
    <w:p>
      <w:r>
        <w:rPr>
          <w:color w:val="5C5A4E"/>
        </w:rPr>
        <w:t>[Project name]  ·  [Client]  ·  [Delivery partner]  ·  Version [x.x]  ·  [Date]</w:t>
      </w:r>
    </w:p>
    <w:p>
      <w:r>
        <w:t>Most integration overruns start in the statement of work. The platform work is scoped line by line; the integrations get a single line and an hours estimate. This template gives integration work the structure it needs so it can be priced honestly, built without surprises, and accepted against criteria both sides agreed in advance.</w:t>
      </w:r>
    </w:p>
    <w:p>
      <w:r>
        <w:t>It is written for implementation partners, agencies and ISVs scoping work that connects a platform - Salesforce, NetSuite, SAP, Shopify, ServiceNow or anything else - to the systems around it. Use it as a standalone integration SOW, or paste the sections into your main SOW.</w:t>
      </w:r>
    </w:p>
    <w:p>
      <w:r>
        <w:rPr>
          <w:i/>
        </w:rPr>
        <w:t>This template is a practical starting point, not legal advice. Have your own counsel review contract terms.</w:t>
      </w:r>
    </w:p>
    <w:p>
      <w:pPr>
        <w:pStyle w:val="Heading1"/>
      </w:pPr>
      <w:r>
        <w:t>How to use this template</w:t>
      </w:r>
    </w:p>
    <w:p>
      <w:pPr>
        <w:pStyle w:val="ListNumber"/>
      </w:pPr>
      <w:r>
        <w:rPr>
          <w:b/>
        </w:rPr>
        <w:t>Fill in the interface inventory first.</w:t>
      </w:r>
      <w:r>
        <w:t xml:space="preserve"> Everything else depends on it. If you cannot complete a row, that interface is not ready to be priced as fixed scope.</w:t>
      </w:r>
    </w:p>
    <w:p>
      <w:pPr>
        <w:pStyle w:val="ListNumber"/>
      </w:pPr>
      <w:r>
        <w:rPr>
          <w:b/>
        </w:rPr>
        <w:t>Agree systems of record with the client's business owners,</w:t>
      </w:r>
      <w:r>
        <w:t xml:space="preserve"> not only with IT. Finance usually owns more than anyone expects.</w:t>
      </w:r>
    </w:p>
    <w:p>
      <w:pPr>
        <w:pStyle w:val="ListNumber"/>
      </w:pPr>
      <w:r>
        <w:rPr>
          <w:b/>
        </w:rPr>
        <w:t>Write acceptance criteria that can be tested,</w:t>
      </w:r>
      <w:r>
        <w:t xml:space="preserve"> including reconciliation between systems.</w:t>
      </w:r>
    </w:p>
    <w:p>
      <w:pPr>
        <w:pStyle w:val="ListNumber"/>
      </w:pPr>
      <w:r>
        <w:rPr>
          <w:b/>
        </w:rPr>
        <w:t>Make every assumption explicit.</w:t>
      </w:r>
      <w:r>
        <w:t xml:space="preserve"> The assumptions section is where your margin is protected.</w:t>
      </w:r>
    </w:p>
    <w:p>
      <w:pPr>
        <w:pStyle w:val="ListNumber"/>
      </w:pPr>
      <w:r>
        <w:rPr>
          <w:b/>
        </w:rPr>
        <w:t>Price discovery separately</w:t>
      </w:r>
      <w:r>
        <w:t xml:space="preserve"> if more than a couple of interfaces cannot be fully described yet.</w:t>
      </w:r>
    </w:p>
    <w:p>
      <w:r>
        <w:t>Text in [square brackets] is guidance or a placeholder to replace.</w:t>
      </w:r>
    </w:p>
    <w:p>
      <w:pPr>
        <w:pStyle w:val="Heading2"/>
      </w:pPr>
      <w:r>
        <w:t>1. Purpose and scope summary</w:t>
      </w:r>
    </w:p>
    <w:p>
      <w:r>
        <w:t>[One paragraph: the business outcome the integrations support - for example, "orders closed in Salesforce are created in NetSuite without re-entry, and invoice status is visible to sales within 15 minutes."]</w:t>
      </w:r>
    </w:p>
    <w:p>
      <w:r>
        <w:t>In scope: the interfaces listed in Section 2 and the data migration described in Section 7 (if any).</w:t>
      </w:r>
    </w:p>
    <w:p>
      <w:r>
        <w:t>Out of scope: any interface, object, field or data source not listed in this SOW. Additional interfaces are handled through change control (Section 12).</w:t>
      </w:r>
    </w:p>
    <w:p>
      <w:pPr>
        <w:pStyle w:val="Heading2"/>
      </w:pPr>
      <w:r>
        <w:t>2. Interface inventory</w:t>
      </w:r>
    </w:p>
    <w:tbl>
      <w:tblPr>
        <w:tblStyle w:val="TableGrid"/>
        <w:tblW w:type="auto" w:w="0"/>
        <w:tblLook w:firstColumn="1" w:firstRow="1" w:lastColumn="0" w:lastRow="0" w:noHBand="0" w:noVBand="1" w:val="04A0"/>
      </w:tblPr>
      <w:tblGrid>
        <w:gridCol w:w="1218"/>
        <w:gridCol w:w="1218"/>
        <w:gridCol w:w="1218"/>
        <w:gridCol w:w="1218"/>
        <w:gridCol w:w="1218"/>
        <w:gridCol w:w="1218"/>
        <w:gridCol w:w="1218"/>
        <w:gridCol w:w="1218"/>
      </w:tblGrid>
      <w:tr>
        <w:tc>
          <w:tcPr>
            <w:tcW w:type="dxa" w:w="1218"/>
            <w:shd w:val="clear" w:color="auto" w:fill="2B5540"/>
          </w:tcPr>
          <w:p>
            <w:r>
              <w:rPr>
                <w:b/>
                <w:color w:val="FFFFFF"/>
                <w:sz w:val="18"/>
              </w:rPr>
            </w:r>
            <w:r>
              <w:rPr>
                <w:b/>
                <w:color w:val="FFFFFF"/>
                <w:sz w:val="18"/>
              </w:rPr>
              <w:t>ID</w:t>
            </w:r>
          </w:p>
        </w:tc>
        <w:tc>
          <w:tcPr>
            <w:tcW w:type="dxa" w:w="1218"/>
            <w:shd w:val="clear" w:color="auto" w:fill="2B5540"/>
          </w:tcPr>
          <w:p>
            <w:r>
              <w:rPr>
                <w:b/>
                <w:color w:val="FFFFFF"/>
                <w:sz w:val="18"/>
              </w:rPr>
            </w:r>
            <w:r>
              <w:rPr>
                <w:b/>
                <w:color w:val="FFFFFF"/>
                <w:sz w:val="18"/>
              </w:rPr>
              <w:t>Source system</w:t>
            </w:r>
          </w:p>
        </w:tc>
        <w:tc>
          <w:tcPr>
            <w:tcW w:type="dxa" w:w="1218"/>
            <w:shd w:val="clear" w:color="auto" w:fill="2B5540"/>
          </w:tcPr>
          <w:p>
            <w:r>
              <w:rPr>
                <w:b/>
                <w:color w:val="FFFFFF"/>
                <w:sz w:val="18"/>
              </w:rPr>
            </w:r>
            <w:r>
              <w:rPr>
                <w:b/>
                <w:color w:val="FFFFFF"/>
                <w:sz w:val="18"/>
              </w:rPr>
              <w:t>Target system</w:t>
            </w:r>
          </w:p>
        </w:tc>
        <w:tc>
          <w:tcPr>
            <w:tcW w:type="dxa" w:w="1218"/>
            <w:shd w:val="clear" w:color="auto" w:fill="2B5540"/>
          </w:tcPr>
          <w:p>
            <w:r>
              <w:rPr>
                <w:b/>
                <w:color w:val="FFFFFF"/>
                <w:sz w:val="18"/>
              </w:rPr>
            </w:r>
            <w:r>
              <w:rPr>
                <w:b/>
                <w:color w:val="FFFFFF"/>
                <w:sz w:val="18"/>
              </w:rPr>
              <w:t>Objects / data</w:t>
            </w:r>
          </w:p>
        </w:tc>
        <w:tc>
          <w:tcPr>
            <w:tcW w:type="dxa" w:w="1218"/>
            <w:shd w:val="clear" w:color="auto" w:fill="2B5540"/>
          </w:tcPr>
          <w:p>
            <w:r>
              <w:rPr>
                <w:b/>
                <w:color w:val="FFFFFF"/>
                <w:sz w:val="18"/>
              </w:rPr>
            </w:r>
            <w:r>
              <w:rPr>
                <w:b/>
                <w:color w:val="FFFFFF"/>
                <w:sz w:val="18"/>
              </w:rPr>
              <w:t>Direction</w:t>
            </w:r>
          </w:p>
        </w:tc>
        <w:tc>
          <w:tcPr>
            <w:tcW w:type="dxa" w:w="1218"/>
            <w:shd w:val="clear" w:color="auto" w:fill="2B5540"/>
          </w:tcPr>
          <w:p>
            <w:r>
              <w:rPr>
                <w:b/>
                <w:color w:val="FFFFFF"/>
                <w:sz w:val="18"/>
              </w:rPr>
            </w:r>
            <w:r>
              <w:rPr>
                <w:b/>
                <w:color w:val="FFFFFF"/>
                <w:sz w:val="18"/>
              </w:rPr>
              <w:t>Trigger</w:t>
            </w:r>
          </w:p>
        </w:tc>
        <w:tc>
          <w:tcPr>
            <w:tcW w:type="dxa" w:w="1218"/>
            <w:shd w:val="clear" w:color="auto" w:fill="2B5540"/>
          </w:tcPr>
          <w:p>
            <w:r>
              <w:rPr>
                <w:b/>
                <w:color w:val="FFFFFF"/>
                <w:sz w:val="18"/>
              </w:rPr>
            </w:r>
            <w:r>
              <w:rPr>
                <w:b/>
                <w:color w:val="FFFFFF"/>
                <w:sz w:val="18"/>
              </w:rPr>
              <w:t>Expected volume</w:t>
            </w:r>
          </w:p>
        </w:tc>
        <w:tc>
          <w:tcPr>
            <w:tcW w:type="dxa" w:w="1218"/>
            <w:shd w:val="clear" w:color="auto" w:fill="2B5540"/>
          </w:tcPr>
          <w:p>
            <w:r>
              <w:rPr>
                <w:b/>
                <w:color w:val="FFFFFF"/>
                <w:sz w:val="18"/>
              </w:rPr>
            </w:r>
            <w:r>
              <w:rPr>
                <w:b/>
                <w:color w:val="FFFFFF"/>
                <w:sz w:val="18"/>
              </w:rPr>
              <w:t>Mechanism (if known)</w:t>
            </w:r>
          </w:p>
        </w:tc>
      </w:tr>
      <w:tr>
        <w:tc>
          <w:tcPr>
            <w:tcW w:type="dxa" w:w="1218"/>
          </w:tcPr>
          <w:p>
            <w:r>
              <w:rPr>
                <w:sz w:val="18"/>
              </w:rPr>
            </w:r>
            <w:r>
              <w:rPr>
                <w:sz w:val="18"/>
              </w:rPr>
              <w:t>INT-01</w:t>
            </w:r>
          </w:p>
        </w:tc>
        <w:tc>
          <w:tcPr>
            <w:tcW w:type="dxa" w:w="1218"/>
          </w:tcPr>
          <w:p>
            <w:r>
              <w:rPr>
                <w:sz w:val="18"/>
              </w:rPr>
            </w:r>
            <w:r>
              <w:rPr>
                <w:sz w:val="18"/>
              </w:rPr>
              <w:t>[e.g. Salesforce]</w:t>
            </w:r>
          </w:p>
        </w:tc>
        <w:tc>
          <w:tcPr>
            <w:tcW w:type="dxa" w:w="1218"/>
          </w:tcPr>
          <w:p>
            <w:r>
              <w:rPr>
                <w:sz w:val="18"/>
              </w:rPr>
            </w:r>
            <w:r>
              <w:rPr>
                <w:sz w:val="18"/>
              </w:rPr>
              <w:t>[e.g. NetSuite]</w:t>
            </w:r>
          </w:p>
        </w:tc>
        <w:tc>
          <w:tcPr>
            <w:tcW w:type="dxa" w:w="1218"/>
          </w:tcPr>
          <w:p>
            <w:r>
              <w:rPr>
                <w:sz w:val="18"/>
              </w:rPr>
            </w:r>
            <w:r>
              <w:rPr>
                <w:sz w:val="18"/>
              </w:rPr>
              <w:t>[Accounts, orders]</w:t>
            </w:r>
          </w:p>
        </w:tc>
        <w:tc>
          <w:tcPr>
            <w:tcW w:type="dxa" w:w="1218"/>
          </w:tcPr>
          <w:p>
            <w:r>
              <w:rPr>
                <w:sz w:val="18"/>
              </w:rPr>
            </w:r>
            <w:r>
              <w:rPr>
                <w:sz w:val="18"/>
              </w:rPr>
              <w:t>[One-way / two-way]</w:t>
            </w:r>
          </w:p>
        </w:tc>
        <w:tc>
          <w:tcPr>
            <w:tcW w:type="dxa" w:w="1218"/>
          </w:tcPr>
          <w:p>
            <w:r>
              <w:rPr>
                <w:sz w:val="18"/>
              </w:rPr>
            </w:r>
            <w:r>
              <w:rPr>
                <w:sz w:val="18"/>
              </w:rPr>
              <w:t>[Real-time / event / scheduled - frequency]</w:t>
            </w:r>
          </w:p>
        </w:tc>
        <w:tc>
          <w:tcPr>
            <w:tcW w:type="dxa" w:w="1218"/>
          </w:tcPr>
          <w:p>
            <w:r>
              <w:rPr>
                <w:sz w:val="18"/>
              </w:rPr>
            </w:r>
            <w:r>
              <w:rPr>
                <w:sz w:val="18"/>
              </w:rPr>
              <w:t>[Records per day, peak per hour]</w:t>
            </w:r>
          </w:p>
        </w:tc>
        <w:tc>
          <w:tcPr>
            <w:tcW w:type="dxa" w:w="1218"/>
          </w:tcPr>
          <w:p>
            <w:r>
              <w:rPr>
                <w:sz w:val="18"/>
              </w:rPr>
            </w:r>
            <w:r>
              <w:rPr>
                <w:sz w:val="18"/>
              </w:rPr>
              <w:t>[API, middleware, file]</w:t>
            </w:r>
          </w:p>
        </w:tc>
      </w:tr>
      <w:tr>
        <w:tc>
          <w:tcPr>
            <w:tcW w:type="dxa" w:w="1218"/>
          </w:tcPr>
          <w:p>
            <w:r>
              <w:rPr>
                <w:sz w:val="18"/>
              </w:rPr>
            </w:r>
            <w:r>
              <w:rPr>
                <w:sz w:val="18"/>
              </w:rPr>
              <w:t>INT-02</w:t>
            </w:r>
          </w:p>
        </w:tc>
        <w:tc>
          <w:tcPr>
            <w:tcW w:type="dxa" w:w="1218"/>
          </w:tcPr>
          <w:p>
            <w:r>
              <w:rPr>
                <w:sz w:val="18"/>
              </w:rPr>
            </w:r>
          </w:p>
        </w:tc>
        <w:tc>
          <w:tcPr>
            <w:tcW w:type="dxa" w:w="1218"/>
          </w:tcPr>
          <w:p>
            <w:r>
              <w:rPr>
                <w:sz w:val="18"/>
              </w:rPr>
            </w:r>
          </w:p>
        </w:tc>
        <w:tc>
          <w:tcPr>
            <w:tcW w:type="dxa" w:w="1218"/>
          </w:tcPr>
          <w:p>
            <w:r>
              <w:rPr>
                <w:sz w:val="18"/>
              </w:rPr>
            </w:r>
          </w:p>
        </w:tc>
        <w:tc>
          <w:tcPr>
            <w:tcW w:type="dxa" w:w="1218"/>
          </w:tcPr>
          <w:p>
            <w:r>
              <w:rPr>
                <w:sz w:val="18"/>
              </w:rPr>
            </w:r>
          </w:p>
        </w:tc>
        <w:tc>
          <w:tcPr>
            <w:tcW w:type="dxa" w:w="1218"/>
          </w:tcPr>
          <w:p>
            <w:r>
              <w:rPr>
                <w:sz w:val="18"/>
              </w:rPr>
            </w:r>
          </w:p>
        </w:tc>
        <w:tc>
          <w:tcPr>
            <w:tcW w:type="dxa" w:w="1218"/>
          </w:tcPr>
          <w:p>
            <w:r>
              <w:rPr>
                <w:sz w:val="18"/>
              </w:rPr>
            </w:r>
          </w:p>
        </w:tc>
        <w:tc>
          <w:tcPr>
            <w:tcW w:type="dxa" w:w="1218"/>
          </w:tcPr>
          <w:p>
            <w:r>
              <w:rPr>
                <w:sz w:val="18"/>
              </w:rPr>
            </w:r>
          </w:p>
        </w:tc>
      </w:tr>
      <w:tr>
        <w:tc>
          <w:tcPr>
            <w:tcW w:type="dxa" w:w="1218"/>
          </w:tcPr>
          <w:p>
            <w:r>
              <w:rPr>
                <w:sz w:val="18"/>
              </w:rPr>
            </w:r>
            <w:r>
              <w:rPr>
                <w:sz w:val="18"/>
              </w:rPr>
              <w:t>INT-03</w:t>
            </w:r>
          </w:p>
        </w:tc>
        <w:tc>
          <w:tcPr>
            <w:tcW w:type="dxa" w:w="1218"/>
          </w:tcPr>
          <w:p>
            <w:r>
              <w:rPr>
                <w:sz w:val="18"/>
              </w:rPr>
            </w:r>
          </w:p>
        </w:tc>
        <w:tc>
          <w:tcPr>
            <w:tcW w:type="dxa" w:w="1218"/>
          </w:tcPr>
          <w:p>
            <w:r>
              <w:rPr>
                <w:sz w:val="18"/>
              </w:rPr>
            </w:r>
          </w:p>
        </w:tc>
        <w:tc>
          <w:tcPr>
            <w:tcW w:type="dxa" w:w="1218"/>
          </w:tcPr>
          <w:p>
            <w:r>
              <w:rPr>
                <w:sz w:val="18"/>
              </w:rPr>
            </w:r>
          </w:p>
        </w:tc>
        <w:tc>
          <w:tcPr>
            <w:tcW w:type="dxa" w:w="1218"/>
          </w:tcPr>
          <w:p>
            <w:r>
              <w:rPr>
                <w:sz w:val="18"/>
              </w:rPr>
            </w:r>
          </w:p>
        </w:tc>
        <w:tc>
          <w:tcPr>
            <w:tcW w:type="dxa" w:w="1218"/>
          </w:tcPr>
          <w:p>
            <w:r>
              <w:rPr>
                <w:sz w:val="18"/>
              </w:rPr>
            </w:r>
          </w:p>
        </w:tc>
        <w:tc>
          <w:tcPr>
            <w:tcW w:type="dxa" w:w="1218"/>
          </w:tcPr>
          <w:p>
            <w:r>
              <w:rPr>
                <w:sz w:val="18"/>
              </w:rPr>
            </w:r>
          </w:p>
        </w:tc>
        <w:tc>
          <w:tcPr>
            <w:tcW w:type="dxa" w:w="1218"/>
          </w:tcPr>
          <w:p>
            <w:r>
              <w:rPr>
                <w:sz w:val="18"/>
              </w:rPr>
            </w:r>
          </w:p>
        </w:tc>
      </w:tr>
    </w:tbl>
    <w:p/>
    <w:p>
      <w:r>
        <w:t>[Add one row per interface. If the same two systems exchange different objects on different schedules, use separate rows.]</w:t>
      </w:r>
    </w:p>
    <w:p>
      <w:pPr>
        <w:pStyle w:val="Heading2"/>
      </w:pPr>
      <w:r>
        <w:t>3. Systems of record</w:t>
      </w:r>
    </w:p>
    <w:tbl>
      <w:tblPr>
        <w:tblStyle w:val="TableGrid"/>
        <w:tblW w:type="auto" w:w="0"/>
        <w:tblLook w:firstColumn="1" w:firstRow="1" w:lastColumn="0" w:lastRow="0" w:noHBand="0" w:noVBand="1" w:val="04A0"/>
      </w:tblPr>
      <w:tblGrid>
        <w:gridCol w:w="1949"/>
        <w:gridCol w:w="1949"/>
        <w:gridCol w:w="1949"/>
        <w:gridCol w:w="1949"/>
        <w:gridCol w:w="1949"/>
      </w:tblGrid>
      <w:tr>
        <w:tc>
          <w:tcPr>
            <w:tcW w:type="dxa" w:w="1949"/>
            <w:shd w:val="clear" w:color="auto" w:fill="2B5540"/>
          </w:tcPr>
          <w:p>
            <w:r>
              <w:rPr>
                <w:b/>
                <w:color w:val="FFFFFF"/>
                <w:sz w:val="18"/>
              </w:rPr>
            </w:r>
            <w:r>
              <w:rPr>
                <w:b/>
                <w:color w:val="FFFFFF"/>
                <w:sz w:val="18"/>
              </w:rPr>
              <w:t>Object</w:t>
            </w:r>
          </w:p>
        </w:tc>
        <w:tc>
          <w:tcPr>
            <w:tcW w:type="dxa" w:w="1949"/>
            <w:shd w:val="clear" w:color="auto" w:fill="2B5540"/>
          </w:tcPr>
          <w:p>
            <w:r>
              <w:rPr>
                <w:b/>
                <w:color w:val="FFFFFF"/>
                <w:sz w:val="18"/>
              </w:rPr>
            </w:r>
            <w:r>
              <w:rPr>
                <w:b/>
                <w:color w:val="FFFFFF"/>
                <w:sz w:val="18"/>
              </w:rPr>
              <w:t>System of record</w:t>
            </w:r>
          </w:p>
        </w:tc>
        <w:tc>
          <w:tcPr>
            <w:tcW w:type="dxa" w:w="1949"/>
            <w:shd w:val="clear" w:color="auto" w:fill="2B5540"/>
          </w:tcPr>
          <w:p>
            <w:r>
              <w:rPr>
                <w:b/>
                <w:color w:val="FFFFFF"/>
                <w:sz w:val="18"/>
              </w:rPr>
            </w:r>
            <w:r>
              <w:rPr>
                <w:b/>
                <w:color w:val="FFFFFF"/>
                <w:sz w:val="18"/>
              </w:rPr>
              <w:t>Systems that receive it</w:t>
            </w:r>
          </w:p>
        </w:tc>
        <w:tc>
          <w:tcPr>
            <w:tcW w:type="dxa" w:w="1949"/>
            <w:shd w:val="clear" w:color="auto" w:fill="2B5540"/>
          </w:tcPr>
          <w:p>
            <w:r>
              <w:rPr>
                <w:b/>
                <w:color w:val="FFFFFF"/>
                <w:sz w:val="18"/>
              </w:rPr>
            </w:r>
            <w:r>
              <w:rPr>
                <w:b/>
                <w:color w:val="FFFFFF"/>
                <w:sz w:val="18"/>
              </w:rPr>
              <w:t>Field-level exceptions</w:t>
            </w:r>
          </w:p>
        </w:tc>
        <w:tc>
          <w:tcPr>
            <w:tcW w:type="dxa" w:w="1949"/>
            <w:shd w:val="clear" w:color="auto" w:fill="2B5540"/>
          </w:tcPr>
          <w:p>
            <w:r>
              <w:rPr>
                <w:b/>
                <w:color w:val="FFFFFF"/>
                <w:sz w:val="18"/>
              </w:rPr>
            </w:r>
            <w:r>
              <w:rPr>
                <w:b/>
                <w:color w:val="FFFFFF"/>
                <w:sz w:val="18"/>
              </w:rPr>
              <w:t>Business owner</w:t>
            </w:r>
          </w:p>
        </w:tc>
      </w:tr>
      <w:tr>
        <w:tc>
          <w:tcPr>
            <w:tcW w:type="dxa" w:w="1949"/>
          </w:tcPr>
          <w:p>
            <w:r>
              <w:rPr>
                <w:sz w:val="18"/>
              </w:rPr>
            </w:r>
            <w:r>
              <w:rPr>
                <w:sz w:val="18"/>
              </w:rPr>
              <w:t>[Customer / account]</w:t>
            </w:r>
          </w:p>
        </w:tc>
        <w:tc>
          <w:tcPr>
            <w:tcW w:type="dxa" w:w="1949"/>
          </w:tcPr>
          <w:p>
            <w:r>
              <w:rPr>
                <w:sz w:val="18"/>
              </w:rPr>
            </w:r>
            <w:r>
              <w:rPr>
                <w:sz w:val="18"/>
              </w:rPr>
              <w:t>[System]</w:t>
            </w:r>
          </w:p>
        </w:tc>
        <w:tc>
          <w:tcPr>
            <w:tcW w:type="dxa" w:w="1949"/>
          </w:tcPr>
          <w:p>
            <w:r>
              <w:rPr>
                <w:sz w:val="18"/>
              </w:rPr>
            </w:r>
            <w:r>
              <w:rPr>
                <w:sz w:val="18"/>
              </w:rPr>
              <w:t>[Systems]</w:t>
            </w:r>
          </w:p>
        </w:tc>
        <w:tc>
          <w:tcPr>
            <w:tcW w:type="dxa" w:w="1949"/>
          </w:tcPr>
          <w:p>
            <w:r>
              <w:rPr>
                <w:sz w:val="18"/>
              </w:rPr>
            </w:r>
            <w:r>
              <w:rPr>
                <w:sz w:val="18"/>
              </w:rPr>
              <w:t>[e.g. credit limit and payment terms owned by ERP]</w:t>
            </w:r>
          </w:p>
        </w:tc>
        <w:tc>
          <w:tcPr>
            <w:tcW w:type="dxa" w:w="1949"/>
          </w:tcPr>
          <w:p>
            <w:r>
              <w:rPr>
                <w:sz w:val="18"/>
              </w:rPr>
            </w:r>
            <w:r>
              <w:rPr>
                <w:sz w:val="18"/>
              </w:rPr>
              <w:t>[Name, role]</w:t>
            </w:r>
          </w:p>
        </w:tc>
      </w:tr>
      <w:tr>
        <w:tc>
          <w:tcPr>
            <w:tcW w:type="dxa" w:w="1949"/>
          </w:tcPr>
          <w:p>
            <w:r>
              <w:rPr>
                <w:sz w:val="18"/>
              </w:rPr>
            </w:r>
            <w:r>
              <w:rPr>
                <w:sz w:val="18"/>
              </w:rPr>
              <w:t>[Product and price]</w:t>
            </w:r>
          </w:p>
        </w:tc>
        <w:tc>
          <w:tcPr>
            <w:tcW w:type="dxa" w:w="1949"/>
          </w:tcPr>
          <w:p>
            <w:r>
              <w:rPr>
                <w:sz w:val="18"/>
              </w:rPr>
            </w:r>
          </w:p>
        </w:tc>
        <w:tc>
          <w:tcPr>
            <w:tcW w:type="dxa" w:w="1949"/>
          </w:tcPr>
          <w:p>
            <w:r>
              <w:rPr>
                <w:sz w:val="18"/>
              </w:rPr>
            </w:r>
          </w:p>
        </w:tc>
        <w:tc>
          <w:tcPr>
            <w:tcW w:type="dxa" w:w="1949"/>
          </w:tcPr>
          <w:p>
            <w:r>
              <w:rPr>
                <w:sz w:val="18"/>
              </w:rPr>
            </w:r>
          </w:p>
        </w:tc>
        <w:tc>
          <w:tcPr>
            <w:tcW w:type="dxa" w:w="1949"/>
          </w:tcPr>
          <w:p>
            <w:r>
              <w:rPr>
                <w:sz w:val="18"/>
              </w:rPr>
            </w:r>
          </w:p>
        </w:tc>
      </w:tr>
      <w:tr>
        <w:tc>
          <w:tcPr>
            <w:tcW w:type="dxa" w:w="1949"/>
          </w:tcPr>
          <w:p>
            <w:r>
              <w:rPr>
                <w:sz w:val="18"/>
              </w:rPr>
            </w:r>
            <w:r>
              <w:rPr>
                <w:sz w:val="18"/>
              </w:rPr>
              <w:t>[Order]</w:t>
            </w:r>
          </w:p>
        </w:tc>
        <w:tc>
          <w:tcPr>
            <w:tcW w:type="dxa" w:w="1949"/>
          </w:tcPr>
          <w:p>
            <w:r>
              <w:rPr>
                <w:sz w:val="18"/>
              </w:rPr>
            </w:r>
          </w:p>
        </w:tc>
        <w:tc>
          <w:tcPr>
            <w:tcW w:type="dxa" w:w="1949"/>
          </w:tcPr>
          <w:p>
            <w:r>
              <w:rPr>
                <w:sz w:val="18"/>
              </w:rPr>
            </w:r>
          </w:p>
        </w:tc>
        <w:tc>
          <w:tcPr>
            <w:tcW w:type="dxa" w:w="1949"/>
          </w:tcPr>
          <w:p>
            <w:r>
              <w:rPr>
                <w:sz w:val="18"/>
              </w:rPr>
            </w:r>
          </w:p>
        </w:tc>
        <w:tc>
          <w:tcPr>
            <w:tcW w:type="dxa" w:w="1949"/>
          </w:tcPr>
          <w:p>
            <w:r>
              <w:rPr>
                <w:sz w:val="18"/>
              </w:rPr>
            </w:r>
          </w:p>
        </w:tc>
      </w:tr>
      <w:tr>
        <w:tc>
          <w:tcPr>
            <w:tcW w:type="dxa" w:w="1949"/>
          </w:tcPr>
          <w:p>
            <w:r>
              <w:rPr>
                <w:sz w:val="18"/>
              </w:rPr>
            </w:r>
            <w:r>
              <w:rPr>
                <w:sz w:val="18"/>
              </w:rPr>
              <w:t>[Invoice and payment]</w:t>
            </w:r>
          </w:p>
        </w:tc>
        <w:tc>
          <w:tcPr>
            <w:tcW w:type="dxa" w:w="1949"/>
          </w:tcPr>
          <w:p>
            <w:r>
              <w:rPr>
                <w:sz w:val="18"/>
              </w:rPr>
            </w:r>
          </w:p>
        </w:tc>
        <w:tc>
          <w:tcPr>
            <w:tcW w:type="dxa" w:w="1949"/>
          </w:tcPr>
          <w:p>
            <w:r>
              <w:rPr>
                <w:sz w:val="18"/>
              </w:rPr>
            </w:r>
          </w:p>
        </w:tc>
        <w:tc>
          <w:tcPr>
            <w:tcW w:type="dxa" w:w="1949"/>
          </w:tcPr>
          <w:p>
            <w:r>
              <w:rPr>
                <w:sz w:val="18"/>
              </w:rPr>
            </w:r>
          </w:p>
        </w:tc>
        <w:tc>
          <w:tcPr>
            <w:tcW w:type="dxa" w:w="1949"/>
          </w:tcPr>
          <w:p>
            <w:r>
              <w:rPr>
                <w:sz w:val="18"/>
              </w:rPr>
            </w:r>
          </w:p>
        </w:tc>
      </w:tr>
    </w:tbl>
    <w:p/>
    <w:p>
      <w:r>
        <w:t>[For two-way flows, name the owning system for each field that can change on both sides, and the rule that applies when both change.]</w:t>
      </w:r>
    </w:p>
    <w:p>
      <w:pPr>
        <w:pStyle w:val="Heading2"/>
      </w:pPr>
      <w:r>
        <w:t>4. Responsibilities</w:t>
      </w:r>
    </w:p>
    <w:tbl>
      <w:tblPr>
        <w:tblStyle w:val="TableGrid"/>
        <w:tblW w:type="auto" w:w="0"/>
        <w:tblLook w:firstColumn="1" w:firstRow="1" w:lastColumn="0" w:lastRow="0" w:noHBand="0" w:noVBand="1" w:val="04A0"/>
      </w:tblPr>
      <w:tblGrid>
        <w:gridCol w:w="2436"/>
        <w:gridCol w:w="2436"/>
        <w:gridCol w:w="2436"/>
        <w:gridCol w:w="2436"/>
      </w:tblGrid>
      <w:tr>
        <w:tc>
          <w:tcPr>
            <w:tcW w:type="dxa" w:w="2436"/>
            <w:shd w:val="clear" w:color="auto" w:fill="2B5540"/>
          </w:tcPr>
          <w:p>
            <w:r>
              <w:rPr>
                <w:b/>
                <w:color w:val="FFFFFF"/>
                <w:sz w:val="18"/>
              </w:rPr>
            </w:r>
            <w:r>
              <w:rPr>
                <w:b/>
                <w:color w:val="FFFFFF"/>
                <w:sz w:val="18"/>
              </w:rPr>
              <w:t>Activity</w:t>
            </w:r>
          </w:p>
        </w:tc>
        <w:tc>
          <w:tcPr>
            <w:tcW w:type="dxa" w:w="2436"/>
            <w:shd w:val="clear" w:color="auto" w:fill="2B5540"/>
          </w:tcPr>
          <w:p>
            <w:r>
              <w:rPr>
                <w:b/>
                <w:color w:val="FFFFFF"/>
                <w:sz w:val="18"/>
              </w:rPr>
            </w:r>
            <w:r>
              <w:rPr>
                <w:b/>
                <w:color w:val="FFFFFF"/>
                <w:sz w:val="18"/>
              </w:rPr>
              <w:t>Client</w:t>
            </w:r>
          </w:p>
        </w:tc>
        <w:tc>
          <w:tcPr>
            <w:tcW w:type="dxa" w:w="2436"/>
            <w:shd w:val="clear" w:color="auto" w:fill="2B5540"/>
          </w:tcPr>
          <w:p>
            <w:r>
              <w:rPr>
                <w:b/>
                <w:color w:val="FFFFFF"/>
                <w:sz w:val="18"/>
              </w:rPr>
            </w:r>
            <w:r>
              <w:rPr>
                <w:b/>
                <w:color w:val="FFFFFF"/>
                <w:sz w:val="18"/>
              </w:rPr>
              <w:t>Delivery partner</w:t>
            </w:r>
          </w:p>
        </w:tc>
        <w:tc>
          <w:tcPr>
            <w:tcW w:type="dxa" w:w="2436"/>
            <w:shd w:val="clear" w:color="auto" w:fill="2B5540"/>
          </w:tcPr>
          <w:p>
            <w:r>
              <w:rPr>
                <w:b/>
                <w:color w:val="FFFFFF"/>
                <w:sz w:val="18"/>
              </w:rPr>
            </w:r>
            <w:r>
              <w:rPr>
                <w:b/>
                <w:color w:val="FFFFFF"/>
                <w:sz w:val="18"/>
              </w:rPr>
              <w:t>Third party / other vendor</w:t>
            </w:r>
          </w:p>
        </w:tc>
      </w:tr>
      <w:tr>
        <w:tc>
          <w:tcPr>
            <w:tcW w:type="dxa" w:w="2436"/>
          </w:tcPr>
          <w:p>
            <w:r>
              <w:rPr>
                <w:sz w:val="18"/>
              </w:rPr>
            </w:r>
            <w:r>
              <w:rPr>
                <w:sz w:val="18"/>
              </w:rPr>
              <w:t>Provide API access, credentials and documentation for each system</w:t>
            </w:r>
          </w:p>
        </w:tc>
        <w:tc>
          <w:tcPr>
            <w:tcW w:type="dxa" w:w="2436"/>
          </w:tcPr>
          <w:p>
            <w:r>
              <w:rPr>
                <w:sz w:val="18"/>
              </w:rPr>
            </w:r>
            <w:r>
              <w:rPr>
                <w:sz w:val="18"/>
              </w:rPr>
              <w:t>[R/A/C/I]</w:t>
            </w:r>
          </w:p>
        </w:tc>
        <w:tc>
          <w:tcPr>
            <w:tcW w:type="dxa" w:w="2436"/>
          </w:tcPr>
          <w:p>
            <w:r>
              <w:rPr>
                <w:sz w:val="18"/>
              </w:rPr>
            </w:r>
          </w:p>
        </w:tc>
        <w:tc>
          <w:tcPr>
            <w:tcW w:type="dxa" w:w="2436"/>
          </w:tcPr>
          <w:p>
            <w:r>
              <w:rPr>
                <w:sz w:val="18"/>
              </w:rPr>
            </w:r>
          </w:p>
        </w:tc>
      </w:tr>
      <w:tr>
        <w:tc>
          <w:tcPr>
            <w:tcW w:type="dxa" w:w="2436"/>
          </w:tcPr>
          <w:p>
            <w:r>
              <w:rPr>
                <w:sz w:val="18"/>
              </w:rPr>
            </w:r>
            <w:r>
              <w:rPr>
                <w:sz w:val="18"/>
              </w:rPr>
              <w:t>Provide test environments with representative data</w:t>
            </w:r>
          </w:p>
        </w:tc>
        <w:tc>
          <w:tcPr>
            <w:tcW w:type="dxa" w:w="2436"/>
          </w:tcPr>
          <w:p>
            <w:r>
              <w:rPr>
                <w:sz w:val="18"/>
              </w:rPr>
            </w:r>
          </w:p>
        </w:tc>
        <w:tc>
          <w:tcPr>
            <w:tcW w:type="dxa" w:w="2436"/>
          </w:tcPr>
          <w:p>
            <w:r>
              <w:rPr>
                <w:sz w:val="18"/>
              </w:rPr>
            </w:r>
          </w:p>
        </w:tc>
        <w:tc>
          <w:tcPr>
            <w:tcW w:type="dxa" w:w="2436"/>
          </w:tcPr>
          <w:p>
            <w:r>
              <w:rPr>
                <w:sz w:val="18"/>
              </w:rPr>
            </w:r>
          </w:p>
        </w:tc>
      </w:tr>
      <w:tr>
        <w:tc>
          <w:tcPr>
            <w:tcW w:type="dxa" w:w="2436"/>
          </w:tcPr>
          <w:p>
            <w:r>
              <w:rPr>
                <w:sz w:val="18"/>
              </w:rPr>
            </w:r>
            <w:r>
              <w:rPr>
                <w:sz w:val="18"/>
              </w:rPr>
              <w:t>Configure the platform side of each interface</w:t>
            </w:r>
          </w:p>
        </w:tc>
        <w:tc>
          <w:tcPr>
            <w:tcW w:type="dxa" w:w="2436"/>
          </w:tcPr>
          <w:p>
            <w:r>
              <w:rPr>
                <w:sz w:val="18"/>
              </w:rPr>
            </w:r>
          </w:p>
        </w:tc>
        <w:tc>
          <w:tcPr>
            <w:tcW w:type="dxa" w:w="2436"/>
          </w:tcPr>
          <w:p>
            <w:r>
              <w:rPr>
                <w:sz w:val="18"/>
              </w:rPr>
            </w:r>
          </w:p>
        </w:tc>
        <w:tc>
          <w:tcPr>
            <w:tcW w:type="dxa" w:w="2436"/>
          </w:tcPr>
          <w:p>
            <w:r>
              <w:rPr>
                <w:sz w:val="18"/>
              </w:rPr>
            </w:r>
          </w:p>
        </w:tc>
      </w:tr>
      <w:tr>
        <w:tc>
          <w:tcPr>
            <w:tcW w:type="dxa" w:w="2436"/>
          </w:tcPr>
          <w:p>
            <w:r>
              <w:rPr>
                <w:sz w:val="18"/>
              </w:rPr>
            </w:r>
            <w:r>
              <w:rPr>
                <w:sz w:val="18"/>
              </w:rPr>
              <w:t>Build middleware, mappings and transformations</w:t>
            </w:r>
          </w:p>
        </w:tc>
        <w:tc>
          <w:tcPr>
            <w:tcW w:type="dxa" w:w="2436"/>
          </w:tcPr>
          <w:p>
            <w:r>
              <w:rPr>
                <w:sz w:val="18"/>
              </w:rPr>
            </w:r>
          </w:p>
        </w:tc>
        <w:tc>
          <w:tcPr>
            <w:tcW w:type="dxa" w:w="2436"/>
          </w:tcPr>
          <w:p>
            <w:r>
              <w:rPr>
                <w:sz w:val="18"/>
              </w:rPr>
            </w:r>
          </w:p>
        </w:tc>
        <w:tc>
          <w:tcPr>
            <w:tcW w:type="dxa" w:w="2436"/>
          </w:tcPr>
          <w:p>
            <w:r>
              <w:rPr>
                <w:sz w:val="18"/>
              </w:rPr>
            </w:r>
          </w:p>
        </w:tc>
      </w:tr>
      <w:tr>
        <w:tc>
          <w:tcPr>
            <w:tcW w:type="dxa" w:w="2436"/>
          </w:tcPr>
          <w:p>
            <w:r>
              <w:rPr>
                <w:sz w:val="18"/>
              </w:rPr>
            </w:r>
            <w:r>
              <w:rPr>
                <w:sz w:val="18"/>
              </w:rPr>
              <w:t>Obtain cooperation from third-party system owners</w:t>
            </w:r>
          </w:p>
        </w:tc>
        <w:tc>
          <w:tcPr>
            <w:tcW w:type="dxa" w:w="2436"/>
          </w:tcPr>
          <w:p>
            <w:r>
              <w:rPr>
                <w:sz w:val="18"/>
              </w:rPr>
            </w:r>
          </w:p>
        </w:tc>
        <w:tc>
          <w:tcPr>
            <w:tcW w:type="dxa" w:w="2436"/>
          </w:tcPr>
          <w:p>
            <w:r>
              <w:rPr>
                <w:sz w:val="18"/>
              </w:rPr>
            </w:r>
          </w:p>
        </w:tc>
        <w:tc>
          <w:tcPr>
            <w:tcW w:type="dxa" w:w="2436"/>
          </w:tcPr>
          <w:p>
            <w:r>
              <w:rPr>
                <w:sz w:val="18"/>
              </w:rPr>
            </w:r>
          </w:p>
        </w:tc>
      </w:tr>
      <w:tr>
        <w:tc>
          <w:tcPr>
            <w:tcW w:type="dxa" w:w="2436"/>
          </w:tcPr>
          <w:p>
            <w:r>
              <w:rPr>
                <w:sz w:val="18"/>
              </w:rPr>
            </w:r>
            <w:r>
              <w:rPr>
                <w:sz w:val="18"/>
              </w:rPr>
              <w:t>Execute integration and end-to-end testing</w:t>
            </w:r>
          </w:p>
        </w:tc>
        <w:tc>
          <w:tcPr>
            <w:tcW w:type="dxa" w:w="2436"/>
          </w:tcPr>
          <w:p>
            <w:r>
              <w:rPr>
                <w:sz w:val="18"/>
              </w:rPr>
            </w:r>
          </w:p>
        </w:tc>
        <w:tc>
          <w:tcPr>
            <w:tcW w:type="dxa" w:w="2436"/>
          </w:tcPr>
          <w:p>
            <w:r>
              <w:rPr>
                <w:sz w:val="18"/>
              </w:rPr>
            </w:r>
          </w:p>
        </w:tc>
        <w:tc>
          <w:tcPr>
            <w:tcW w:type="dxa" w:w="2436"/>
          </w:tcPr>
          <w:p>
            <w:r>
              <w:rPr>
                <w:sz w:val="18"/>
              </w:rPr>
            </w:r>
          </w:p>
        </w:tc>
      </w:tr>
      <w:tr>
        <w:tc>
          <w:tcPr>
            <w:tcW w:type="dxa" w:w="2436"/>
          </w:tcPr>
          <w:p>
            <w:r>
              <w:rPr>
                <w:sz w:val="18"/>
              </w:rPr>
            </w:r>
            <w:r>
              <w:rPr>
                <w:sz w:val="18"/>
              </w:rPr>
              <w:t>Business acceptance and sign-off</w:t>
            </w:r>
          </w:p>
        </w:tc>
        <w:tc>
          <w:tcPr>
            <w:tcW w:type="dxa" w:w="2436"/>
          </w:tcPr>
          <w:p>
            <w:r>
              <w:rPr>
                <w:sz w:val="18"/>
              </w:rPr>
            </w:r>
          </w:p>
        </w:tc>
        <w:tc>
          <w:tcPr>
            <w:tcW w:type="dxa" w:w="2436"/>
          </w:tcPr>
          <w:p>
            <w:r>
              <w:rPr>
                <w:sz w:val="18"/>
              </w:rPr>
            </w:r>
          </w:p>
        </w:tc>
        <w:tc>
          <w:tcPr>
            <w:tcW w:type="dxa" w:w="2436"/>
          </w:tcPr>
          <w:p>
            <w:r>
              <w:rPr>
                <w:sz w:val="18"/>
              </w:rPr>
            </w:r>
          </w:p>
        </w:tc>
      </w:tr>
      <w:tr>
        <w:tc>
          <w:tcPr>
            <w:tcW w:type="dxa" w:w="2436"/>
          </w:tcPr>
          <w:p>
            <w:r>
              <w:rPr>
                <w:sz w:val="18"/>
              </w:rPr>
            </w:r>
            <w:r>
              <w:rPr>
                <w:sz w:val="18"/>
              </w:rPr>
              <w:t>Production monitoring and support after go-live</w:t>
            </w:r>
          </w:p>
        </w:tc>
        <w:tc>
          <w:tcPr>
            <w:tcW w:type="dxa" w:w="2436"/>
          </w:tcPr>
          <w:p>
            <w:r>
              <w:rPr>
                <w:sz w:val="18"/>
              </w:rPr>
            </w:r>
          </w:p>
        </w:tc>
        <w:tc>
          <w:tcPr>
            <w:tcW w:type="dxa" w:w="2436"/>
          </w:tcPr>
          <w:p>
            <w:r>
              <w:rPr>
                <w:sz w:val="18"/>
              </w:rPr>
            </w:r>
          </w:p>
        </w:tc>
        <w:tc>
          <w:tcPr>
            <w:tcW w:type="dxa" w:w="2436"/>
          </w:tcPr>
          <w:p>
            <w:r>
              <w:rPr>
                <w:sz w:val="18"/>
              </w:rPr>
            </w:r>
          </w:p>
        </w:tc>
      </w:tr>
    </w:tbl>
    <w:p/>
    <w:p>
      <w:r>
        <w:t>[R = responsible, A = accountable, C = consulted, I = informed. Third-party system owners are often not party to this SOW; name the client as responsible for securing their cooperation and response times.]</w:t>
      </w:r>
    </w:p>
    <w:p>
      <w:pPr>
        <w:pStyle w:val="Heading2"/>
      </w:pPr>
      <w:r>
        <w:t>5. Acceptance criteria</w:t>
      </w:r>
    </w:p>
    <w:p>
      <w:r>
        <w:t>For each interface in Section 2, acceptance requires:</w:t>
      </w:r>
    </w:p>
    <w:p>
      <w:pPr>
        <w:pStyle w:val="ListBullet"/>
      </w:pPr>
      <w:r>
        <w:rPr>
          <w:b/>
        </w:rPr>
        <w:t>Timeliness:</w:t>
      </w:r>
      <w:r>
        <w:t xml:space="preserve"> records created or changed in the source appear in the target within [time] under expected volume.</w:t>
      </w:r>
    </w:p>
    <w:p>
      <w:pPr>
        <w:pStyle w:val="ListBullet"/>
      </w:pPr>
      <w:r>
        <w:rPr>
          <w:b/>
        </w:rPr>
        <w:t>Completeness:</w:t>
      </w:r>
      <w:r>
        <w:t xml:space="preserve"> for an agreed test period, control totals - record counts and, where applicable, financial amounts - reconcile between source and target, with all differences explained.</w:t>
      </w:r>
    </w:p>
    <w:p>
      <w:pPr>
        <w:pStyle w:val="ListBullet"/>
      </w:pPr>
      <w:r>
        <w:rPr>
          <w:b/>
        </w:rPr>
        <w:t>Accuracy:</w:t>
      </w:r>
      <w:r>
        <w:t xml:space="preserve"> a sample of [number] records per object is checked field by field by the business owner and matches.</w:t>
      </w:r>
    </w:p>
    <w:p>
      <w:pPr>
        <w:pStyle w:val="ListBullet"/>
      </w:pPr>
      <w:r>
        <w:rPr>
          <w:b/>
        </w:rPr>
        <w:t>Error handling:</w:t>
      </w:r>
      <w:r>
        <w:t xml:space="preserve"> each failure condition in Section 6 produces the agreed behavior in testing.</w:t>
      </w:r>
    </w:p>
    <w:p>
      <w:pPr>
        <w:pStyle w:val="ListBullet"/>
      </w:pPr>
      <w:r>
        <w:rPr>
          <w:b/>
        </w:rPr>
        <w:t>Documentation:</w:t>
      </w:r>
      <w:r>
        <w:t xml:space="preserve"> interface specifications, mappings and runbooks are delivered (Section 11).</w:t>
      </w:r>
    </w:p>
    <w:p>
      <w:r>
        <w:t>[Name the test period, the sample size and who signs off.]</w:t>
      </w:r>
    </w:p>
    <w:p>
      <w:pPr>
        <w:pStyle w:val="Heading2"/>
      </w:pPr>
      <w:r>
        <w:t>6. Failure behavior and non-functional requirements</w:t>
      </w:r>
    </w:p>
    <w:tbl>
      <w:tblPr>
        <w:tblStyle w:val="TableGrid"/>
        <w:tblW w:type="auto" w:w="0"/>
        <w:tblLook w:firstColumn="1" w:firstRow="1" w:lastColumn="0" w:lastRow="0" w:noHBand="0" w:noVBand="1" w:val="04A0"/>
      </w:tblPr>
      <w:tblGrid>
        <w:gridCol w:w="3249"/>
        <w:gridCol w:w="3249"/>
        <w:gridCol w:w="3249"/>
      </w:tblGrid>
      <w:tr>
        <w:tc>
          <w:tcPr>
            <w:tcW w:type="dxa" w:w="3249"/>
            <w:shd w:val="clear" w:color="auto" w:fill="2B5540"/>
          </w:tcPr>
          <w:p>
            <w:r>
              <w:rPr>
                <w:b/>
                <w:color w:val="FFFFFF"/>
                <w:sz w:val="18"/>
              </w:rPr>
            </w:r>
            <w:r>
              <w:rPr>
                <w:b/>
                <w:color w:val="FFFFFF"/>
                <w:sz w:val="18"/>
              </w:rPr>
              <w:t>Condition</w:t>
            </w:r>
          </w:p>
        </w:tc>
        <w:tc>
          <w:tcPr>
            <w:tcW w:type="dxa" w:w="3249"/>
            <w:shd w:val="clear" w:color="auto" w:fill="2B5540"/>
          </w:tcPr>
          <w:p>
            <w:r>
              <w:rPr>
                <w:b/>
                <w:color w:val="FFFFFF"/>
                <w:sz w:val="18"/>
              </w:rPr>
            </w:r>
            <w:r>
              <w:rPr>
                <w:b/>
                <w:color w:val="FFFFFF"/>
                <w:sz w:val="18"/>
              </w:rPr>
              <w:t>Required behavior</w:t>
            </w:r>
          </w:p>
        </w:tc>
        <w:tc>
          <w:tcPr>
            <w:tcW w:type="dxa" w:w="3249"/>
            <w:shd w:val="clear" w:color="auto" w:fill="2B5540"/>
          </w:tcPr>
          <w:p>
            <w:r>
              <w:rPr>
                <w:b/>
                <w:color w:val="FFFFFF"/>
                <w:sz w:val="18"/>
              </w:rPr>
            </w:r>
            <w:r>
              <w:rPr>
                <w:b/>
                <w:color w:val="FFFFFF"/>
                <w:sz w:val="18"/>
              </w:rPr>
              <w:t>Alert to</w:t>
            </w:r>
          </w:p>
        </w:tc>
      </w:tr>
      <w:tr>
        <w:tc>
          <w:tcPr>
            <w:tcW w:type="dxa" w:w="3249"/>
          </w:tcPr>
          <w:p>
            <w:r>
              <w:rPr>
                <w:sz w:val="18"/>
              </w:rPr>
            </w:r>
            <w:r>
              <w:rPr>
                <w:sz w:val="18"/>
              </w:rPr>
              <w:t>Target system unavailable</w:t>
            </w:r>
          </w:p>
        </w:tc>
        <w:tc>
          <w:tcPr>
            <w:tcW w:type="dxa" w:w="3249"/>
          </w:tcPr>
          <w:p>
            <w:r>
              <w:rPr>
                <w:sz w:val="18"/>
              </w:rPr>
            </w:r>
            <w:r>
              <w:rPr>
                <w:sz w:val="18"/>
              </w:rPr>
              <w:t>[Queue and retry with backoff for up to N hours]</w:t>
            </w:r>
          </w:p>
        </w:tc>
        <w:tc>
          <w:tcPr>
            <w:tcW w:type="dxa" w:w="3249"/>
          </w:tcPr>
          <w:p>
            <w:r>
              <w:rPr>
                <w:sz w:val="18"/>
              </w:rPr>
            </w:r>
            <w:r>
              <w:rPr>
                <w:sz w:val="18"/>
              </w:rPr>
              <w:t>[Role / channel]</w:t>
            </w:r>
          </w:p>
        </w:tc>
      </w:tr>
      <w:tr>
        <w:tc>
          <w:tcPr>
            <w:tcW w:type="dxa" w:w="3249"/>
          </w:tcPr>
          <w:p>
            <w:r>
              <w:rPr>
                <w:sz w:val="18"/>
              </w:rPr>
            </w:r>
            <w:r>
              <w:rPr>
                <w:sz w:val="18"/>
              </w:rPr>
              <w:t>Record rejected by target</w:t>
            </w:r>
          </w:p>
        </w:tc>
        <w:tc>
          <w:tcPr>
            <w:tcW w:type="dxa" w:w="3249"/>
          </w:tcPr>
          <w:p>
            <w:r>
              <w:rPr>
                <w:sz w:val="18"/>
              </w:rPr>
            </w:r>
            <w:r>
              <w:rPr>
                <w:sz w:val="18"/>
              </w:rPr>
              <w:t>[Log with reason, route to exception queue]</w:t>
            </w:r>
          </w:p>
        </w:tc>
        <w:tc>
          <w:tcPr>
            <w:tcW w:type="dxa" w:w="3249"/>
          </w:tcPr>
          <w:p>
            <w:r>
              <w:rPr>
                <w:sz w:val="18"/>
              </w:rPr>
            </w:r>
          </w:p>
        </w:tc>
      </w:tr>
      <w:tr>
        <w:tc>
          <w:tcPr>
            <w:tcW w:type="dxa" w:w="3249"/>
          </w:tcPr>
          <w:p>
            <w:r>
              <w:rPr>
                <w:sz w:val="18"/>
              </w:rPr>
            </w:r>
            <w:r>
              <w:rPr>
                <w:sz w:val="18"/>
              </w:rPr>
              <w:t>Same message received twice</w:t>
            </w:r>
          </w:p>
        </w:tc>
        <w:tc>
          <w:tcPr>
            <w:tcW w:type="dxa" w:w="3249"/>
          </w:tcPr>
          <w:p>
            <w:r>
              <w:rPr>
                <w:sz w:val="18"/>
              </w:rPr>
            </w:r>
            <w:r>
              <w:rPr>
                <w:sz w:val="18"/>
              </w:rPr>
              <w:t>[Processed once - idempotent by key: e.g. source record ID]</w:t>
            </w:r>
          </w:p>
        </w:tc>
        <w:tc>
          <w:tcPr>
            <w:tcW w:type="dxa" w:w="3249"/>
          </w:tcPr>
          <w:p>
            <w:r>
              <w:rPr>
                <w:sz w:val="18"/>
              </w:rPr>
            </w:r>
          </w:p>
        </w:tc>
      </w:tr>
      <w:tr>
        <w:tc>
          <w:tcPr>
            <w:tcW w:type="dxa" w:w="3249"/>
          </w:tcPr>
          <w:p>
            <w:r>
              <w:rPr>
                <w:sz w:val="18"/>
              </w:rPr>
            </w:r>
            <w:r>
              <w:rPr>
                <w:sz w:val="18"/>
              </w:rPr>
              <w:t>Messages arrive out of order</w:t>
            </w:r>
          </w:p>
        </w:tc>
        <w:tc>
          <w:tcPr>
            <w:tcW w:type="dxa" w:w="3249"/>
          </w:tcPr>
          <w:p>
            <w:r>
              <w:rPr>
                <w:sz w:val="18"/>
              </w:rPr>
            </w:r>
            <w:r>
              <w:rPr>
                <w:sz w:val="18"/>
              </w:rPr>
              <w:t>[Apply latest state / version check]</w:t>
            </w:r>
          </w:p>
        </w:tc>
        <w:tc>
          <w:tcPr>
            <w:tcW w:type="dxa" w:w="3249"/>
          </w:tcPr>
          <w:p>
            <w:r>
              <w:rPr>
                <w:sz w:val="18"/>
              </w:rPr>
            </w:r>
          </w:p>
        </w:tc>
      </w:tr>
      <w:tr>
        <w:tc>
          <w:tcPr>
            <w:tcW w:type="dxa" w:w="3249"/>
          </w:tcPr>
          <w:p>
            <w:r>
              <w:rPr>
                <w:sz w:val="18"/>
              </w:rPr>
            </w:r>
            <w:r>
              <w:rPr>
                <w:sz w:val="18"/>
              </w:rPr>
              <w:t>Mapping not found (e.g. unknown account code)</w:t>
            </w:r>
          </w:p>
        </w:tc>
        <w:tc>
          <w:tcPr>
            <w:tcW w:type="dxa" w:w="3249"/>
          </w:tcPr>
          <w:p>
            <w:r>
              <w:rPr>
                <w:sz w:val="18"/>
              </w:rPr>
            </w:r>
            <w:r>
              <w:rPr>
                <w:sz w:val="18"/>
              </w:rPr>
              <w:t>[Stop record, raise exception, never default silently]</w:t>
            </w:r>
          </w:p>
        </w:tc>
        <w:tc>
          <w:tcPr>
            <w:tcW w:type="dxa" w:w="3249"/>
          </w:tcPr>
          <w:p>
            <w:r>
              <w:rPr>
                <w:sz w:val="18"/>
              </w:rPr>
            </w:r>
          </w:p>
        </w:tc>
      </w:tr>
    </w:tbl>
    <w:p/>
    <w:p>
      <w:r>
        <w:t>Non-functional: peak throughput of [N records per hour]; data retention of logs for [N days]; credentials stored in [vault / secret store] and rotated [frequency]; personal data handled per [policy].</w:t>
      </w:r>
    </w:p>
    <w:p>
      <w:pPr>
        <w:pStyle w:val="Heading2"/>
      </w:pPr>
      <w:r>
        <w:t>7. Data migration (if applicable)</w:t>
      </w:r>
    </w:p>
    <w:p>
      <w:r>
        <w:t>Data migration is scoped separately from the interfaces.</w:t>
      </w:r>
    </w:p>
    <w:tbl>
      <w:tblPr>
        <w:tblStyle w:val="TableGrid"/>
        <w:tblW w:type="auto" w:w="0"/>
        <w:tblLook w:firstColumn="1" w:firstRow="1" w:lastColumn="0" w:lastRow="0" w:noHBand="0" w:noVBand="1" w:val="04A0"/>
      </w:tblPr>
      <w:tblGrid>
        <w:gridCol w:w="1624"/>
        <w:gridCol w:w="1624"/>
        <w:gridCol w:w="1624"/>
        <w:gridCol w:w="1624"/>
        <w:gridCol w:w="1624"/>
        <w:gridCol w:w="1624"/>
      </w:tblGrid>
      <w:tr>
        <w:tc>
          <w:tcPr>
            <w:tcW w:type="dxa" w:w="1624"/>
            <w:shd w:val="clear" w:color="auto" w:fill="2B5540"/>
          </w:tcPr>
          <w:p>
            <w:r>
              <w:rPr>
                <w:b/>
                <w:color w:val="FFFFFF"/>
                <w:sz w:val="18"/>
              </w:rPr>
            </w:r>
            <w:r>
              <w:rPr>
                <w:b/>
                <w:color w:val="FFFFFF"/>
                <w:sz w:val="18"/>
              </w:rPr>
              <w:t>Object</w:t>
            </w:r>
          </w:p>
        </w:tc>
        <w:tc>
          <w:tcPr>
            <w:tcW w:type="dxa" w:w="1624"/>
            <w:shd w:val="clear" w:color="auto" w:fill="2B5540"/>
          </w:tcPr>
          <w:p>
            <w:r>
              <w:rPr>
                <w:b/>
                <w:color w:val="FFFFFF"/>
                <w:sz w:val="18"/>
              </w:rPr>
            </w:r>
            <w:r>
              <w:rPr>
                <w:b/>
                <w:color w:val="FFFFFF"/>
                <w:sz w:val="18"/>
              </w:rPr>
              <w:t>Source</w:t>
            </w:r>
          </w:p>
        </w:tc>
        <w:tc>
          <w:tcPr>
            <w:tcW w:type="dxa" w:w="1624"/>
            <w:shd w:val="clear" w:color="auto" w:fill="2B5540"/>
          </w:tcPr>
          <w:p>
            <w:r>
              <w:rPr>
                <w:b/>
                <w:color w:val="FFFFFF"/>
                <w:sz w:val="18"/>
              </w:rPr>
            </w:r>
            <w:r>
              <w:rPr>
                <w:b/>
                <w:color w:val="FFFFFF"/>
                <w:sz w:val="18"/>
              </w:rPr>
              <w:t>Approximate volume</w:t>
            </w:r>
          </w:p>
        </w:tc>
        <w:tc>
          <w:tcPr>
            <w:tcW w:type="dxa" w:w="1624"/>
            <w:shd w:val="clear" w:color="auto" w:fill="2B5540"/>
          </w:tcPr>
          <w:p>
            <w:r>
              <w:rPr>
                <w:b/>
                <w:color w:val="FFFFFF"/>
                <w:sz w:val="18"/>
              </w:rPr>
            </w:r>
            <w:r>
              <w:rPr>
                <w:b/>
                <w:color w:val="FFFFFF"/>
                <w:sz w:val="18"/>
              </w:rPr>
              <w:t>History included</w:t>
            </w:r>
          </w:p>
        </w:tc>
        <w:tc>
          <w:tcPr>
            <w:tcW w:type="dxa" w:w="1624"/>
            <w:shd w:val="clear" w:color="auto" w:fill="2B5540"/>
          </w:tcPr>
          <w:p>
            <w:r>
              <w:rPr>
                <w:b/>
                <w:color w:val="FFFFFF"/>
                <w:sz w:val="18"/>
              </w:rPr>
            </w:r>
            <w:r>
              <w:rPr>
                <w:b/>
                <w:color w:val="FFFFFF"/>
                <w:sz w:val="18"/>
              </w:rPr>
              <w:t>Cleansing / dedup rules</w:t>
            </w:r>
          </w:p>
        </w:tc>
        <w:tc>
          <w:tcPr>
            <w:tcW w:type="dxa" w:w="1624"/>
            <w:shd w:val="clear" w:color="auto" w:fill="2B5540"/>
          </w:tcPr>
          <w:p>
            <w:r>
              <w:rPr>
                <w:b/>
                <w:color w:val="FFFFFF"/>
                <w:sz w:val="18"/>
              </w:rPr>
            </w:r>
            <w:r>
              <w:rPr>
                <w:b/>
                <w:color w:val="FFFFFF"/>
                <w:sz w:val="18"/>
              </w:rPr>
              <w:t>Validation method</w:t>
            </w:r>
          </w:p>
        </w:tc>
      </w:tr>
      <w:tr>
        <w:tc>
          <w:tcPr>
            <w:tcW w:type="dxa" w:w="1624"/>
          </w:tcPr>
          <w:p>
            <w:r>
              <w:rPr>
                <w:sz w:val="18"/>
              </w:rPr>
            </w:r>
            <w:r>
              <w:rPr>
                <w:sz w:val="18"/>
              </w:rPr>
              <w:t>[Customers]</w:t>
            </w:r>
          </w:p>
        </w:tc>
        <w:tc>
          <w:tcPr>
            <w:tcW w:type="dxa" w:w="1624"/>
          </w:tcPr>
          <w:p>
            <w:r>
              <w:rPr>
                <w:sz w:val="18"/>
              </w:rPr>
            </w:r>
            <w:r>
              <w:rPr>
                <w:sz w:val="18"/>
              </w:rPr>
              <w:t>[System]</w:t>
            </w:r>
          </w:p>
        </w:tc>
        <w:tc>
          <w:tcPr>
            <w:tcW w:type="dxa" w:w="1624"/>
          </w:tcPr>
          <w:p>
            <w:r>
              <w:rPr>
                <w:sz w:val="18"/>
              </w:rPr>
            </w:r>
            <w:r>
              <w:rPr>
                <w:sz w:val="18"/>
              </w:rPr>
              <w:t>[Count]</w:t>
            </w:r>
          </w:p>
        </w:tc>
        <w:tc>
          <w:tcPr>
            <w:tcW w:type="dxa" w:w="1624"/>
          </w:tcPr>
          <w:p>
            <w:r>
              <w:rPr>
                <w:sz w:val="18"/>
              </w:rPr>
            </w:r>
            <w:r>
              <w:rPr>
                <w:sz w:val="18"/>
              </w:rPr>
              <w:t>[e.g. active plus last 3 years]</w:t>
            </w:r>
          </w:p>
        </w:tc>
        <w:tc>
          <w:tcPr>
            <w:tcW w:type="dxa" w:w="1624"/>
          </w:tcPr>
          <w:p>
            <w:r>
              <w:rPr>
                <w:sz w:val="18"/>
              </w:rPr>
            </w:r>
            <w:r>
              <w:rPr>
                <w:sz w:val="18"/>
              </w:rPr>
              <w:t>[Rules]</w:t>
            </w:r>
          </w:p>
        </w:tc>
        <w:tc>
          <w:tcPr>
            <w:tcW w:type="dxa" w:w="1624"/>
          </w:tcPr>
          <w:p>
            <w:r>
              <w:rPr>
                <w:sz w:val="18"/>
              </w:rPr>
            </w:r>
            <w:r>
              <w:rPr>
                <w:sz w:val="18"/>
              </w:rPr>
              <w:t>[Counts, totals, sample review]</w:t>
            </w:r>
          </w:p>
        </w:tc>
      </w:tr>
    </w:tbl>
    <w:p/>
    <w:p>
      <w:r>
        <w:t>Rehearsals: [number] full-volume rehearsals before cutover. Sign-off: [business owner] signs off migrated data using the validation report.</w:t>
      </w:r>
    </w:p>
    <w:p>
      <w:pPr>
        <w:pStyle w:val="Heading2"/>
      </w:pPr>
      <w:r>
        <w:t>8. Assumptions and change triggers</w:t>
      </w:r>
    </w:p>
    <w:p>
      <w:r>
        <w:t>The price and timeline depend on the following assumptions. If an assumption proves false, it is handled as a change (Section 12).</w:t>
      </w:r>
    </w:p>
    <w:p>
      <w:pPr>
        <w:pStyle w:val="ListBullet"/>
      </w:pPr>
      <w:r>
        <w:t>[System] exposes documented APIs for [objects] in the client's current license and edition.</w:t>
      </w:r>
    </w:p>
    <w:p>
      <w:pPr>
        <w:pStyle w:val="ListBullet"/>
      </w:pPr>
      <w:r>
        <w:t>Test environments with representative data are available by [date] and remain available until go-live.</w:t>
      </w:r>
    </w:p>
    <w:p>
      <w:pPr>
        <w:pStyle w:val="ListBullet"/>
      </w:pPr>
      <w:r>
        <w:t>Peak volume does not exceed [N records per hour] per interface.</w:t>
      </w:r>
    </w:p>
    <w:p>
      <w:pPr>
        <w:pStyle w:val="ListBullet"/>
      </w:pPr>
      <w:r>
        <w:t>Third-party system owners respond to technical questions within [N] business days.</w:t>
      </w:r>
    </w:p>
    <w:p>
      <w:pPr>
        <w:pStyle w:val="ListBullet"/>
      </w:pPr>
      <w:r>
        <w:t>Systems of record and field ownership in Section 3 are agreed by [date] and do not change without change control.</w:t>
      </w:r>
    </w:p>
    <w:p>
      <w:pPr>
        <w:pStyle w:val="ListBullet"/>
      </w:pPr>
      <w:r>
        <w:t>[Add assumptions specific to the engagement.]</w:t>
      </w:r>
    </w:p>
    <w:p>
      <w:pPr>
        <w:pStyle w:val="Heading2"/>
      </w:pPr>
      <w:r>
        <w:t>9. Environments and access</w:t>
      </w:r>
    </w:p>
    <w:tbl>
      <w:tblPr>
        <w:tblStyle w:val="TableGrid"/>
        <w:tblW w:type="auto" w:w="0"/>
        <w:tblLook w:firstColumn="1" w:firstRow="1" w:lastColumn="0" w:lastRow="0" w:noHBand="0" w:noVBand="1" w:val="04A0"/>
      </w:tblPr>
      <w:tblGrid>
        <w:gridCol w:w="1949"/>
        <w:gridCol w:w="1949"/>
        <w:gridCol w:w="1949"/>
        <w:gridCol w:w="1949"/>
        <w:gridCol w:w="1949"/>
      </w:tblGrid>
      <w:tr>
        <w:tc>
          <w:tcPr>
            <w:tcW w:type="dxa" w:w="1949"/>
            <w:shd w:val="clear" w:color="auto" w:fill="2B5540"/>
          </w:tcPr>
          <w:p>
            <w:r>
              <w:rPr>
                <w:b/>
                <w:color w:val="FFFFFF"/>
                <w:sz w:val="18"/>
              </w:rPr>
            </w:r>
            <w:r>
              <w:rPr>
                <w:b/>
                <w:color w:val="FFFFFF"/>
                <w:sz w:val="18"/>
              </w:rPr>
              <w:t>Environment</w:t>
            </w:r>
          </w:p>
        </w:tc>
        <w:tc>
          <w:tcPr>
            <w:tcW w:type="dxa" w:w="1949"/>
            <w:shd w:val="clear" w:color="auto" w:fill="2B5540"/>
          </w:tcPr>
          <w:p>
            <w:r>
              <w:rPr>
                <w:b/>
                <w:color w:val="FFFFFF"/>
                <w:sz w:val="18"/>
              </w:rPr>
            </w:r>
            <w:r>
              <w:rPr>
                <w:b/>
                <w:color w:val="FFFFFF"/>
                <w:sz w:val="18"/>
              </w:rPr>
              <w:t>Systems included</w:t>
            </w:r>
          </w:p>
        </w:tc>
        <w:tc>
          <w:tcPr>
            <w:tcW w:type="dxa" w:w="1949"/>
            <w:shd w:val="clear" w:color="auto" w:fill="2B5540"/>
          </w:tcPr>
          <w:p>
            <w:r>
              <w:rPr>
                <w:b/>
                <w:color w:val="FFFFFF"/>
                <w:sz w:val="18"/>
              </w:rPr>
            </w:r>
            <w:r>
              <w:rPr>
                <w:b/>
                <w:color w:val="FFFFFF"/>
                <w:sz w:val="18"/>
              </w:rPr>
              <w:t>Provided by</w:t>
            </w:r>
          </w:p>
        </w:tc>
        <w:tc>
          <w:tcPr>
            <w:tcW w:type="dxa" w:w="1949"/>
            <w:shd w:val="clear" w:color="auto" w:fill="2B5540"/>
          </w:tcPr>
          <w:p>
            <w:r>
              <w:rPr>
                <w:b/>
                <w:color w:val="FFFFFF"/>
                <w:sz w:val="18"/>
              </w:rPr>
            </w:r>
            <w:r>
              <w:rPr>
                <w:b/>
                <w:color w:val="FFFFFF"/>
                <w:sz w:val="18"/>
              </w:rPr>
              <w:t>Available from</w:t>
            </w:r>
          </w:p>
        </w:tc>
        <w:tc>
          <w:tcPr>
            <w:tcW w:type="dxa" w:w="1949"/>
            <w:shd w:val="clear" w:color="auto" w:fill="2B5540"/>
          </w:tcPr>
          <w:p>
            <w:r>
              <w:rPr>
                <w:b/>
                <w:color w:val="FFFFFF"/>
                <w:sz w:val="18"/>
              </w:rPr>
            </w:r>
            <w:r>
              <w:rPr>
                <w:b/>
                <w:color w:val="FFFFFF"/>
                <w:sz w:val="18"/>
              </w:rPr>
              <w:t>Data</w:t>
            </w:r>
          </w:p>
        </w:tc>
      </w:tr>
      <w:tr>
        <w:tc>
          <w:tcPr>
            <w:tcW w:type="dxa" w:w="1949"/>
          </w:tcPr>
          <w:p>
            <w:r>
              <w:rPr>
                <w:sz w:val="18"/>
              </w:rPr>
            </w:r>
            <w:r>
              <w:rPr>
                <w:sz w:val="18"/>
              </w:rPr>
              <w:t>Development</w:t>
            </w:r>
          </w:p>
        </w:tc>
        <w:tc>
          <w:tcPr>
            <w:tcW w:type="dxa" w:w="1949"/>
          </w:tcPr>
          <w:p>
            <w:r>
              <w:rPr>
                <w:sz w:val="18"/>
              </w:rPr>
            </w:r>
          </w:p>
        </w:tc>
        <w:tc>
          <w:tcPr>
            <w:tcW w:type="dxa" w:w="1949"/>
          </w:tcPr>
          <w:p>
            <w:r>
              <w:rPr>
                <w:sz w:val="18"/>
              </w:rPr>
            </w:r>
          </w:p>
        </w:tc>
        <w:tc>
          <w:tcPr>
            <w:tcW w:type="dxa" w:w="1949"/>
          </w:tcPr>
          <w:p>
            <w:r>
              <w:rPr>
                <w:sz w:val="18"/>
              </w:rPr>
            </w:r>
          </w:p>
        </w:tc>
        <w:tc>
          <w:tcPr>
            <w:tcW w:type="dxa" w:w="1949"/>
          </w:tcPr>
          <w:p>
            <w:r>
              <w:rPr>
                <w:sz w:val="18"/>
              </w:rPr>
            </w:r>
            <w:r>
              <w:rPr>
                <w:sz w:val="18"/>
              </w:rPr>
              <w:t>[Synthetic / masked]</w:t>
            </w:r>
          </w:p>
        </w:tc>
      </w:tr>
      <w:tr>
        <w:tc>
          <w:tcPr>
            <w:tcW w:type="dxa" w:w="1949"/>
          </w:tcPr>
          <w:p>
            <w:r>
              <w:rPr>
                <w:sz w:val="18"/>
              </w:rPr>
            </w:r>
            <w:r>
              <w:rPr>
                <w:sz w:val="18"/>
              </w:rPr>
              <w:t>Test / UAT</w:t>
            </w:r>
          </w:p>
        </w:tc>
        <w:tc>
          <w:tcPr>
            <w:tcW w:type="dxa" w:w="1949"/>
          </w:tcPr>
          <w:p>
            <w:r>
              <w:rPr>
                <w:sz w:val="18"/>
              </w:rPr>
            </w:r>
          </w:p>
        </w:tc>
        <w:tc>
          <w:tcPr>
            <w:tcW w:type="dxa" w:w="1949"/>
          </w:tcPr>
          <w:p>
            <w:r>
              <w:rPr>
                <w:sz w:val="18"/>
              </w:rPr>
            </w:r>
          </w:p>
        </w:tc>
        <w:tc>
          <w:tcPr>
            <w:tcW w:type="dxa" w:w="1949"/>
          </w:tcPr>
          <w:p>
            <w:r>
              <w:rPr>
                <w:sz w:val="18"/>
              </w:rPr>
            </w:r>
          </w:p>
        </w:tc>
        <w:tc>
          <w:tcPr>
            <w:tcW w:type="dxa" w:w="1949"/>
          </w:tcPr>
          <w:p>
            <w:r>
              <w:rPr>
                <w:sz w:val="18"/>
              </w:rPr>
            </w:r>
            <w:r>
              <w:rPr>
                <w:sz w:val="18"/>
              </w:rPr>
              <w:t>[Representative copy]</w:t>
            </w:r>
          </w:p>
        </w:tc>
      </w:tr>
      <w:tr>
        <w:tc>
          <w:tcPr>
            <w:tcW w:type="dxa" w:w="1949"/>
          </w:tcPr>
          <w:p>
            <w:r>
              <w:rPr>
                <w:sz w:val="18"/>
              </w:rPr>
            </w:r>
            <w:r>
              <w:rPr>
                <w:sz w:val="18"/>
              </w:rPr>
              <w:t>Production</w:t>
            </w:r>
          </w:p>
        </w:tc>
        <w:tc>
          <w:tcPr>
            <w:tcW w:type="dxa" w:w="1949"/>
          </w:tcPr>
          <w:p>
            <w:r>
              <w:rPr>
                <w:sz w:val="18"/>
              </w:rPr>
            </w:r>
          </w:p>
        </w:tc>
        <w:tc>
          <w:tcPr>
            <w:tcW w:type="dxa" w:w="1949"/>
          </w:tcPr>
          <w:p>
            <w:r>
              <w:rPr>
                <w:sz w:val="18"/>
              </w:rPr>
            </w:r>
          </w:p>
        </w:tc>
        <w:tc>
          <w:tcPr>
            <w:tcW w:type="dxa" w:w="1949"/>
          </w:tcPr>
          <w:p>
            <w:r>
              <w:rPr>
                <w:sz w:val="18"/>
              </w:rPr>
            </w:r>
          </w:p>
        </w:tc>
        <w:tc>
          <w:tcPr>
            <w:tcW w:type="dxa" w:w="1949"/>
          </w:tcPr>
          <w:p>
            <w:r>
              <w:rPr>
                <w:sz w:val="18"/>
              </w:rPr>
            </w:r>
          </w:p>
        </w:tc>
      </w:tr>
    </w:tbl>
    <w:p/>
    <w:p>
      <w:pPr>
        <w:pStyle w:val="Heading2"/>
      </w:pPr>
      <w:r>
        <w:t>10. Cutover and hypercare</w:t>
      </w:r>
    </w:p>
    <w:p>
      <w:pPr>
        <w:pStyle w:val="ListBullet"/>
      </w:pPr>
      <w:r>
        <w:t>Cutover plan with sequence, owners and go / no-go criteria agreed by [date].</w:t>
      </w:r>
    </w:p>
    <w:p>
      <w:pPr>
        <w:pStyle w:val="ListBullet"/>
      </w:pPr>
      <w:r>
        <w:t>Rollback approach documented for each interface before go-live.</w:t>
      </w:r>
    </w:p>
    <w:p>
      <w:pPr>
        <w:pStyle w:val="ListBullet"/>
      </w:pPr>
      <w:r>
        <w:t>Hypercare period of [N weeks] after go-live, covering [scope], with response targets of [targets].</w:t>
      </w:r>
    </w:p>
    <w:p>
      <w:pPr>
        <w:pStyle w:val="Heading2"/>
      </w:pPr>
      <w:r>
        <w:t>11. Deliverables</w:t>
      </w:r>
    </w:p>
    <w:p>
      <w:pPr>
        <w:pStyle w:val="ListBullet"/>
      </w:pPr>
      <w:r>
        <w:t>Interface specifications and field mappings for each interface in Section 2.</w:t>
      </w:r>
    </w:p>
    <w:p>
      <w:pPr>
        <w:pStyle w:val="ListBullet"/>
      </w:pPr>
      <w:r>
        <w:t>Source code and configuration, delivered to [repository / client].</w:t>
      </w:r>
    </w:p>
    <w:p>
      <w:pPr>
        <w:pStyle w:val="ListBullet"/>
      </w:pPr>
      <w:r>
        <w:t>Reconciliation report or query for each interface.</w:t>
      </w:r>
    </w:p>
    <w:p>
      <w:pPr>
        <w:pStyle w:val="ListBullet"/>
      </w:pPr>
      <w:r>
        <w:t>Runbooks: monitoring, common failures and recovery steps.</w:t>
      </w:r>
    </w:p>
    <w:p>
      <w:pPr>
        <w:pStyle w:val="ListBullet"/>
      </w:pPr>
      <w:r>
        <w:t>Handover walkthrough with [team].</w:t>
      </w:r>
    </w:p>
    <w:p>
      <w:pPr>
        <w:pStyle w:val="Heading2"/>
      </w:pPr>
      <w:r>
        <w:t>12. Commercials and change control</w:t>
      </w:r>
    </w:p>
    <w:p>
      <w:r>
        <w:t>Pricing model: [Fixed price for interfaces INT-01 to INT-0N / time and materials / fixed-price discovery followed by fixed-price build].</w:t>
      </w:r>
    </w:p>
    <w:p>
      <w:r>
        <w:t>Change control: changes to interfaces, objects, systems of record, volumes or assumptions are raised in writing, assessed for impact on price and timeline within [N] business days, and approved by [roles] before work begins.</w:t>
      </w:r>
    </w:p>
    <w:p>
      <w:pPr>
        <w:pStyle w:val="Heading1"/>
      </w:pPr>
      <w:r>
        <w:t>Checklist before you sign</w:t>
      </w:r>
    </w:p>
    <w:p>
      <w:pPr>
        <w:pStyle w:val="ListBullet"/>
      </w:pPr>
      <w:r>
        <w:t>Every interface has its own row in the inventory, and nothing is described only as "integrations".</w:t>
      </w:r>
    </w:p>
    <w:p>
      <w:pPr>
        <w:pStyle w:val="ListBullet"/>
      </w:pPr>
      <w:r>
        <w:t>Systems of record are agreed with the business, not assumed.</w:t>
      </w:r>
    </w:p>
    <w:p>
      <w:pPr>
        <w:pStyle w:val="ListBullet"/>
      </w:pPr>
      <w:r>
        <w:t>Someone is named as responsible for access to every third-party system.</w:t>
      </w:r>
    </w:p>
    <w:p>
      <w:pPr>
        <w:pStyle w:val="ListBullet"/>
      </w:pPr>
      <w:r>
        <w:t>Acceptance criteria include reconciliation and error handling, not just "the integration works".</w:t>
      </w:r>
    </w:p>
    <w:p>
      <w:pPr>
        <w:pStyle w:val="ListBullet"/>
      </w:pPr>
      <w:r>
        <w:t>Duplicate and failure handling is specified for anything that carries money or orders.</w:t>
      </w:r>
    </w:p>
    <w:p>
      <w:pPr>
        <w:pStyle w:val="ListBullet"/>
      </w:pPr>
      <w:r>
        <w:t>Data migration has its own section, rehearsals and sign-off.</w:t>
      </w:r>
    </w:p>
    <w:p>
      <w:pPr>
        <w:pStyle w:val="ListBullet"/>
      </w:pPr>
      <w:r>
        <w:t>Every assumption the price depends on is written down.</w:t>
      </w:r>
    </w:p>
    <w:p/>
    <w:p>
      <w:pPr>
        <w:jc w:val="center"/>
      </w:pPr>
      <w:r>
        <w:rPr>
          <w:color w:val="5C5A4E"/>
          <w:sz w:val="17"/>
        </w:rPr>
        <w:t>Template by eProxim - integration engineering partner for agencies, ISVs and implementation partners. Latest version and guidance: eproxim.com/integration-sow-template/</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0F1B14"/>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2B554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0F1B14"/>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